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方正小标宋简体" w:hAnsi="方正小标宋简体" w:eastAsia="方正小标宋简体" w:cs="黑体"/>
          <w:color w:val="000000"/>
          <w:kern w:val="60"/>
          <w:sz w:val="44"/>
          <w:szCs w:val="44"/>
          <w:lang w:val="en-US" w:eastAsia="zh-CN"/>
        </w:rPr>
      </w:pPr>
      <w:r>
        <w:rPr>
          <w:rFonts w:hint="eastAsia" w:ascii="方正小标宋简体" w:hAnsi="方正小标宋简体" w:eastAsia="方正小标宋简体" w:cs="黑体"/>
          <w:color w:val="000000"/>
          <w:kern w:val="60"/>
          <w:sz w:val="44"/>
          <w:szCs w:val="44"/>
          <w:lang w:val="en-US" w:eastAsia="zh-CN"/>
        </w:rPr>
        <w:t xml:space="preserve"> </w:t>
      </w:r>
      <w:r>
        <w:rPr>
          <w:rFonts w:hint="eastAsia" w:ascii="方正仿宋_GBK" w:hAnsi="方正仿宋_GBK" w:eastAsia="方正仿宋_GBK" w:cs="方正仿宋_GBK"/>
          <w:color w:val="000000"/>
          <w:kern w:val="60"/>
          <w:sz w:val="32"/>
          <w:szCs w:val="32"/>
          <w:lang w:val="en-US" w:eastAsia="zh-CN"/>
        </w:rPr>
        <w:t>附件：</w:t>
      </w:r>
      <w:bookmarkStart w:id="0" w:name="_GoBack"/>
      <w:bookmarkEnd w:id="0"/>
    </w:p>
    <w:p>
      <w:pPr>
        <w:adjustRightInd w:val="0"/>
        <w:snapToGrid w:val="0"/>
        <w:spacing w:line="560" w:lineRule="exact"/>
        <w:jc w:val="center"/>
        <w:rPr>
          <w:rFonts w:hint="eastAsia" w:ascii="方正小标宋简体" w:hAnsi="方正小标宋简体" w:eastAsia="方正小标宋简体" w:cs="黑体"/>
          <w:color w:val="000000"/>
          <w:kern w:val="60"/>
          <w:sz w:val="44"/>
          <w:szCs w:val="44"/>
          <w:lang w:eastAsia="zh-CN"/>
        </w:rPr>
      </w:pPr>
      <w:r>
        <w:rPr>
          <w:rFonts w:hint="eastAsia" w:ascii="方正小标宋简体" w:hAnsi="方正小标宋简体" w:eastAsia="方正小标宋简体" w:cs="黑体"/>
          <w:color w:val="000000"/>
          <w:kern w:val="60"/>
          <w:sz w:val="44"/>
          <w:szCs w:val="44"/>
          <w:lang w:eastAsia="zh-CN"/>
        </w:rPr>
        <w:t>秦皇岛市农业农村局</w:t>
      </w:r>
    </w:p>
    <w:p>
      <w:pPr>
        <w:adjustRightInd w:val="0"/>
        <w:snapToGrid w:val="0"/>
        <w:spacing w:line="560" w:lineRule="exact"/>
        <w:jc w:val="center"/>
        <w:rPr>
          <w:rFonts w:hint="eastAsia" w:ascii="方正小标宋简体" w:hAnsi="方正小标宋简体" w:eastAsia="方正小标宋简体" w:cs="黑体"/>
          <w:color w:val="000000"/>
          <w:kern w:val="60"/>
          <w:sz w:val="44"/>
          <w:szCs w:val="44"/>
          <w:lang w:val="en-US" w:eastAsia="zh-CN"/>
        </w:rPr>
      </w:pPr>
      <w:r>
        <w:rPr>
          <w:rFonts w:hint="eastAsia" w:ascii="方正小标宋简体" w:hAnsi="方正小标宋简体" w:eastAsia="方正小标宋简体" w:cs="黑体"/>
          <w:color w:val="000000"/>
          <w:kern w:val="60"/>
          <w:sz w:val="44"/>
          <w:szCs w:val="44"/>
        </w:rPr>
        <w:t>202</w:t>
      </w:r>
      <w:r>
        <w:rPr>
          <w:rFonts w:hint="eastAsia" w:ascii="方正小标宋简体" w:hAnsi="方正小标宋简体" w:eastAsia="方正小标宋简体" w:cs="黑体"/>
          <w:color w:val="000000"/>
          <w:kern w:val="60"/>
          <w:sz w:val="44"/>
          <w:szCs w:val="44"/>
          <w:lang w:val="en-US" w:eastAsia="zh-CN"/>
        </w:rPr>
        <w:t>2</w:t>
      </w:r>
      <w:r>
        <w:rPr>
          <w:rFonts w:hint="eastAsia" w:ascii="方正小标宋简体" w:hAnsi="方正小标宋简体" w:eastAsia="方正小标宋简体" w:cs="黑体"/>
          <w:color w:val="000000"/>
          <w:kern w:val="60"/>
          <w:sz w:val="44"/>
          <w:szCs w:val="44"/>
        </w:rPr>
        <w:t>年“双随机、一公开”监管工作</w:t>
      </w:r>
      <w:r>
        <w:rPr>
          <w:rFonts w:hint="eastAsia" w:ascii="方正小标宋简体" w:hAnsi="方正小标宋简体" w:eastAsia="方正小标宋简体" w:cs="黑体"/>
          <w:color w:val="000000"/>
          <w:kern w:val="60"/>
          <w:sz w:val="44"/>
          <w:szCs w:val="44"/>
          <w:lang w:val="en-US" w:eastAsia="zh-CN"/>
        </w:rPr>
        <w:t>要点</w:t>
      </w:r>
    </w:p>
    <w:p>
      <w:pPr>
        <w:adjustRightInd w:val="0"/>
        <w:snapToGrid w:val="0"/>
        <w:spacing w:line="560" w:lineRule="exact"/>
        <w:jc w:val="center"/>
        <w:rPr>
          <w:rFonts w:ascii="方正小标宋_GBK" w:eastAsia="方正小标宋_GBK"/>
          <w:snapToGrid w:val="0"/>
          <w:color w:val="000000"/>
          <w:kern w:val="60"/>
          <w:sz w:val="30"/>
          <w:szCs w:val="30"/>
        </w:rPr>
      </w:pPr>
    </w:p>
    <w:p>
      <w:pPr>
        <w:keepNext w:val="0"/>
        <w:keepLines w:val="0"/>
        <w:widowControl/>
        <w:suppressLineNumbers w:val="0"/>
        <w:ind w:firstLine="640" w:firstLineChars="200"/>
        <w:jc w:val="left"/>
        <w:rPr>
          <w:rFonts w:hint="eastAsia" w:ascii="方正仿宋_GBK" w:hAnsi="方正仿宋_GBK" w:eastAsia="方正仿宋_GBK" w:cs="方正仿宋_GBK"/>
          <w:color w:val="000000"/>
          <w:kern w:val="60"/>
          <w:szCs w:val="32"/>
        </w:rPr>
      </w:pPr>
      <w:r>
        <w:rPr>
          <w:rFonts w:hint="eastAsia" w:ascii="仿宋_GB2312" w:hAnsi="仿宋_GB2312" w:cs="仿宋_GB2312"/>
          <w:color w:val="000000"/>
          <w:kern w:val="60"/>
          <w:szCs w:val="32"/>
        </w:rPr>
        <w:t>为认真贯彻落实</w:t>
      </w:r>
      <w:r>
        <w:rPr>
          <w:rFonts w:hint="eastAsia" w:ascii="仿宋_GB2312" w:hAnsi="仿宋_GB2312" w:cs="仿宋_GB2312"/>
          <w:color w:val="000000"/>
          <w:kern w:val="60"/>
          <w:szCs w:val="32"/>
          <w:lang w:eastAsia="zh-CN"/>
        </w:rPr>
        <w:t>省</w:t>
      </w:r>
      <w:r>
        <w:rPr>
          <w:rFonts w:hint="eastAsia" w:ascii="仿宋_GB2312" w:hAnsi="仿宋_GB2312" w:cs="仿宋_GB2312"/>
          <w:color w:val="000000"/>
          <w:kern w:val="60"/>
          <w:szCs w:val="32"/>
          <w:lang w:val="en-US" w:eastAsia="zh-CN"/>
        </w:rPr>
        <w:t>农业农村厅</w:t>
      </w:r>
      <w:r>
        <w:rPr>
          <w:rFonts w:hint="eastAsia" w:ascii="仿宋_GB2312" w:hAnsi="仿宋_GB2312" w:cs="仿宋_GB2312"/>
          <w:color w:val="000000"/>
          <w:kern w:val="60"/>
          <w:szCs w:val="32"/>
          <w:lang w:eastAsia="zh-CN"/>
        </w:rPr>
        <w:t>、</w:t>
      </w:r>
      <w:r>
        <w:rPr>
          <w:rFonts w:hint="eastAsia" w:ascii="仿宋_GB2312" w:hAnsi="仿宋_GB2312" w:cs="仿宋_GB2312"/>
          <w:color w:val="000000"/>
          <w:kern w:val="60"/>
          <w:szCs w:val="32"/>
        </w:rPr>
        <w:t>市</w:t>
      </w:r>
      <w:r>
        <w:rPr>
          <w:rFonts w:hint="eastAsia" w:ascii="仿宋_GB2312" w:hAnsi="仿宋_GB2312" w:cs="仿宋_GB2312"/>
          <w:color w:val="000000"/>
          <w:kern w:val="60"/>
          <w:szCs w:val="32"/>
          <w:lang w:eastAsia="zh-CN"/>
        </w:rPr>
        <w:t>双随机办</w:t>
      </w:r>
      <w:r>
        <w:rPr>
          <w:rFonts w:hint="eastAsia" w:ascii="仿宋_GB2312" w:hAnsi="仿宋_GB2312" w:cs="仿宋_GB2312"/>
          <w:color w:val="000000"/>
          <w:kern w:val="60"/>
          <w:szCs w:val="32"/>
        </w:rPr>
        <w:t>关于“双随机、一公开”监管工作决策部署，根据</w:t>
      </w:r>
      <w:r>
        <w:rPr>
          <w:rFonts w:hint="eastAsia" w:ascii="方正仿宋_GBK" w:hAnsi="方正仿宋_GBK" w:eastAsia="方正仿宋_GBK" w:cs="方正仿宋_GBK"/>
          <w:color w:val="000000"/>
          <w:kern w:val="0"/>
          <w:sz w:val="32"/>
          <w:szCs w:val="32"/>
          <w:lang w:val="en-US" w:eastAsia="zh-CN" w:bidi="ar"/>
        </w:rPr>
        <w:t>《2022 年秦皇岛市“双随机、一公开” 监管工作实施方案》、《河北省农业农村厅关于印发&lt;2022 年“双随机、一公开”监管工作实施方案&gt;的通知》</w:t>
      </w:r>
      <w:r>
        <w:rPr>
          <w:rFonts w:hint="eastAsia" w:ascii="方正仿宋_GBK" w:hAnsi="方正仿宋_GBK" w:eastAsia="方正仿宋_GBK" w:cs="方正仿宋_GBK"/>
          <w:color w:val="000000"/>
          <w:kern w:val="60"/>
          <w:szCs w:val="32"/>
        </w:rPr>
        <w:t>文件精神，结合我</w:t>
      </w:r>
      <w:r>
        <w:rPr>
          <w:rFonts w:hint="eastAsia" w:ascii="方正仿宋_GBK" w:hAnsi="方正仿宋_GBK" w:eastAsia="方正仿宋_GBK" w:cs="方正仿宋_GBK"/>
          <w:color w:val="000000"/>
          <w:kern w:val="60"/>
          <w:szCs w:val="32"/>
          <w:lang w:eastAsia="zh-CN"/>
        </w:rPr>
        <w:t>局</w:t>
      </w:r>
      <w:r>
        <w:rPr>
          <w:rFonts w:hint="eastAsia" w:ascii="方正仿宋_GBK" w:hAnsi="方正仿宋_GBK" w:eastAsia="方正仿宋_GBK" w:cs="方正仿宋_GBK"/>
          <w:color w:val="000000"/>
          <w:kern w:val="60"/>
          <w:szCs w:val="32"/>
        </w:rPr>
        <w:t>实际，制定本</w:t>
      </w:r>
      <w:r>
        <w:rPr>
          <w:rFonts w:hint="eastAsia" w:ascii="方正仿宋_GBK" w:hAnsi="方正仿宋_GBK" w:eastAsia="方正仿宋_GBK" w:cs="方正仿宋_GBK"/>
          <w:color w:val="000000"/>
          <w:kern w:val="60"/>
          <w:szCs w:val="32"/>
          <w:lang w:eastAsia="zh-CN"/>
        </w:rPr>
        <w:t>工作要点</w:t>
      </w:r>
      <w:r>
        <w:rPr>
          <w:rFonts w:hint="eastAsia" w:ascii="方正仿宋_GBK" w:hAnsi="方正仿宋_GBK" w:eastAsia="方正仿宋_GBK" w:cs="方正仿宋_GBK"/>
          <w:color w:val="000000"/>
          <w:kern w:val="60"/>
          <w:szCs w:val="32"/>
        </w:rPr>
        <w:t>。</w:t>
      </w:r>
    </w:p>
    <w:p>
      <w:pPr>
        <w:spacing w:line="560" w:lineRule="exact"/>
        <w:ind w:firstLine="640" w:firstLineChars="200"/>
        <w:rPr>
          <w:rFonts w:ascii="黑体" w:hAnsi="黑体" w:eastAsia="黑体" w:cs="黑体"/>
          <w:color w:val="000000"/>
          <w:kern w:val="60"/>
          <w:szCs w:val="32"/>
        </w:rPr>
      </w:pPr>
      <w:r>
        <w:rPr>
          <w:rFonts w:hint="eastAsia" w:ascii="黑体" w:hAnsi="黑体" w:eastAsia="黑体" w:cs="黑体"/>
          <w:color w:val="000000"/>
          <w:kern w:val="60"/>
          <w:szCs w:val="32"/>
        </w:rPr>
        <w:t>一、工作目标</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通过加强组织领导、完善随机抽查工作机制，确保年度随机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抽查比例不低于 </w:t>
      </w:r>
      <w:r>
        <w:rPr>
          <w:rFonts w:hint="eastAsia" w:ascii="仿宋_GB2312" w:hAnsi="仿宋_GB2312" w:eastAsia="仿宋_GB2312" w:cs="仿宋_GB2312"/>
          <w:color w:val="000000"/>
          <w:kern w:val="0"/>
          <w:sz w:val="31"/>
          <w:szCs w:val="31"/>
          <w:lang w:val="en-US" w:eastAsia="zh-CN" w:bidi="ar"/>
        </w:rPr>
        <w:t>6</w:t>
      </w:r>
      <w:r>
        <w:rPr>
          <w:rFonts w:ascii="仿宋_GB2312" w:hAnsi="仿宋_GB2312" w:eastAsia="仿宋_GB2312" w:cs="仿宋_GB2312"/>
          <w:color w:val="000000"/>
          <w:kern w:val="0"/>
          <w:sz w:val="31"/>
          <w:szCs w:val="31"/>
          <w:lang w:val="en-US" w:eastAsia="zh-CN" w:bidi="ar"/>
        </w:rPr>
        <w:t xml:space="preserve">%，抽查检查结果 100%公示，实现“双随机、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一公开”监管全覆盖、常态化。充分运用河北省双随机监管工作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平台开展随机抽查工作，做到“平台之外无抽查”；调整完善随机抽查事项清单，确保“清单之外无检查”；建立健全双随机抽查后续处置机制，规范问题线索的转办、移送等工作，实现“后续处置无例外”。实现随机抽查工作标准化、规范化，积极开展</w:t>
      </w:r>
      <w:r>
        <w:rPr>
          <w:rFonts w:hint="eastAsia" w:ascii="仿宋_GB2312" w:hAnsi="仿宋_GB2312" w:eastAsia="仿宋_GB2312" w:cs="仿宋_GB2312"/>
          <w:color w:val="000000"/>
          <w:kern w:val="0"/>
          <w:sz w:val="31"/>
          <w:szCs w:val="31"/>
          <w:lang w:val="en-US" w:eastAsia="zh-CN" w:bidi="ar"/>
        </w:rPr>
        <w:t>跨</w:t>
      </w:r>
      <w:r>
        <w:rPr>
          <w:rFonts w:ascii="仿宋_GB2312" w:hAnsi="仿宋_GB2312" w:eastAsia="仿宋_GB2312" w:cs="仿宋_GB2312"/>
          <w:color w:val="000000"/>
          <w:kern w:val="0"/>
          <w:sz w:val="31"/>
          <w:szCs w:val="31"/>
          <w:lang w:val="en-US" w:eastAsia="zh-CN" w:bidi="ar"/>
        </w:rPr>
        <w:t>部门联合、重点领域和基于信用风险分级的随机抽查模式，不断提高双随机抽查的精准性和靶向性，努力实现既“无事不扰”又“无处不在”。</w:t>
      </w:r>
    </w:p>
    <w:p>
      <w:pPr>
        <w:keepNext w:val="0"/>
        <w:keepLines w:val="0"/>
        <w:widowControl/>
        <w:numPr>
          <w:ilvl w:val="0"/>
          <w:numId w:val="1"/>
        </w:numPr>
        <w:suppressLineNumbers w:val="0"/>
        <w:ind w:firstLine="640" w:firstLineChars="200"/>
        <w:jc w:val="left"/>
        <w:rPr>
          <w:rFonts w:hint="eastAsia" w:ascii="黑体" w:hAnsi="黑体" w:eastAsia="黑体"/>
          <w:szCs w:val="32"/>
        </w:rPr>
      </w:pPr>
      <w:r>
        <w:rPr>
          <w:rFonts w:hint="eastAsia" w:ascii="黑体" w:hAnsi="黑体" w:eastAsia="黑体"/>
          <w:szCs w:val="32"/>
        </w:rPr>
        <w:t>工作任务</w:t>
      </w:r>
    </w:p>
    <w:p>
      <w:pPr>
        <w:keepNext w:val="0"/>
        <w:keepLines w:val="0"/>
        <w:widowControl/>
        <w:suppressLineNumbers w:val="0"/>
        <w:jc w:val="left"/>
      </w:pPr>
      <w:r>
        <w:rPr>
          <w:rFonts w:hint="eastAsia" w:ascii="仿宋_GB2312" w:hAnsi="仿宋_GB2312" w:eastAsia="仿宋_GB2312" w:cs="仿宋_GB2312"/>
          <w:color w:val="000000"/>
          <w:kern w:val="0"/>
          <w:sz w:val="31"/>
          <w:szCs w:val="31"/>
          <w:lang w:val="en-US" w:eastAsia="zh-CN" w:bidi="ar"/>
        </w:rPr>
        <w:t xml:space="preserve">    （一）加强</w:t>
      </w:r>
      <w:r>
        <w:rPr>
          <w:rFonts w:ascii="仿宋_GB2312" w:hAnsi="仿宋_GB2312" w:eastAsia="仿宋_GB2312" w:cs="仿宋_GB2312"/>
          <w:color w:val="000000"/>
          <w:kern w:val="0"/>
          <w:sz w:val="31"/>
          <w:szCs w:val="31"/>
          <w:lang w:val="en-US" w:eastAsia="zh-CN" w:bidi="ar"/>
        </w:rPr>
        <w:t>随机抽查事项清单</w:t>
      </w:r>
      <w:r>
        <w:rPr>
          <w:rFonts w:hint="eastAsia" w:ascii="仿宋_GB2312" w:hAnsi="仿宋_GB2312" w:eastAsia="仿宋_GB2312" w:cs="仿宋_GB2312"/>
          <w:color w:val="000000"/>
          <w:kern w:val="0"/>
          <w:sz w:val="31"/>
          <w:szCs w:val="31"/>
          <w:lang w:val="en-US" w:eastAsia="zh-CN" w:bidi="ar"/>
        </w:rPr>
        <w:t>的管理</w:t>
      </w:r>
      <w:r>
        <w:rPr>
          <w:rFonts w:ascii="仿宋_GB2312" w:hAnsi="仿宋_GB2312" w:eastAsia="仿宋_GB2312" w:cs="仿宋_GB2312"/>
          <w:color w:val="000000"/>
          <w:kern w:val="0"/>
          <w:sz w:val="31"/>
          <w:szCs w:val="31"/>
          <w:lang w:val="en-US" w:eastAsia="zh-CN" w:bidi="ar"/>
        </w:rPr>
        <w:t>。对本系统、本行业随机抽查事项清单</w:t>
      </w:r>
      <w:r>
        <w:rPr>
          <w:rFonts w:hint="eastAsia" w:ascii="仿宋_GB2312" w:hAnsi="仿宋_GB2312" w:eastAsia="仿宋_GB2312" w:cs="仿宋_GB2312"/>
          <w:color w:val="000000"/>
          <w:kern w:val="0"/>
          <w:sz w:val="31"/>
          <w:szCs w:val="31"/>
          <w:lang w:val="en-US" w:eastAsia="zh-CN" w:bidi="ar"/>
        </w:rPr>
        <w:t>进行</w:t>
      </w:r>
      <w:r>
        <w:rPr>
          <w:rFonts w:ascii="仿宋_GB2312" w:hAnsi="仿宋_GB2312" w:eastAsia="仿宋_GB2312" w:cs="仿宋_GB2312"/>
          <w:color w:val="000000"/>
          <w:kern w:val="0"/>
          <w:sz w:val="31"/>
          <w:szCs w:val="31"/>
          <w:lang w:val="en-US" w:eastAsia="zh-CN" w:bidi="ar"/>
        </w:rPr>
        <w:t>动态调整</w:t>
      </w:r>
      <w:r>
        <w:rPr>
          <w:rFonts w:hint="eastAsia" w:ascii="仿宋_GB2312" w:hAnsi="仿宋_GB2312" w:eastAsia="仿宋_GB2312" w:cs="仿宋_GB2312"/>
          <w:color w:val="000000"/>
          <w:kern w:val="0"/>
          <w:sz w:val="31"/>
          <w:szCs w:val="31"/>
          <w:lang w:val="en-US" w:eastAsia="zh-CN" w:bidi="ar"/>
        </w:rPr>
        <w:t>，特别是检查事项清单，确保新增的已纳入，停止经营的已取消。对</w:t>
      </w:r>
      <w:r>
        <w:rPr>
          <w:rFonts w:ascii="仿宋_GB2312" w:hAnsi="仿宋_GB2312" w:eastAsia="仿宋_GB2312" w:cs="仿宋_GB2312"/>
          <w:color w:val="000000"/>
          <w:kern w:val="0"/>
          <w:sz w:val="31"/>
          <w:szCs w:val="31"/>
          <w:lang w:val="en-US" w:eastAsia="zh-CN" w:bidi="ar"/>
        </w:rPr>
        <w:t xml:space="preserve">河北省“互联 网+监管”平台上确认的监管事项，本着“应纳尽纳”的原则，纳入本级随机抽查事项清单；要结合监管重点，合理确定一般检查事项、重点检查事项以及各自的抽查比例。确保“清单之外无检查”。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 xml:space="preserve">（二）严密组织实施随机抽查工作。 </w:t>
      </w:r>
      <w:r>
        <w:rPr>
          <w:rFonts w:ascii="仿宋_GB2312" w:hAnsi="仿宋_GB2312" w:eastAsia="仿宋_GB2312" w:cs="仿宋_GB2312"/>
          <w:color w:val="000000"/>
          <w:kern w:val="0"/>
          <w:sz w:val="31"/>
          <w:szCs w:val="31"/>
          <w:lang w:val="en-US" w:eastAsia="zh-CN" w:bidi="ar"/>
        </w:rPr>
        <w:t>按照“应联合尽联合”的要求，整合</w:t>
      </w:r>
      <w:r>
        <w:rPr>
          <w:rFonts w:hint="eastAsia" w:ascii="仿宋_GB2312" w:hAnsi="仿宋_GB2312" w:eastAsia="仿宋_GB2312" w:cs="仿宋_GB2312"/>
          <w:color w:val="000000"/>
          <w:kern w:val="0"/>
          <w:sz w:val="31"/>
          <w:szCs w:val="31"/>
          <w:lang w:val="en-US" w:eastAsia="zh-CN" w:bidi="ar"/>
        </w:rPr>
        <w:t>全市农业农村系统</w:t>
      </w:r>
      <w:r>
        <w:rPr>
          <w:rFonts w:ascii="仿宋_GB2312" w:hAnsi="仿宋_GB2312" w:eastAsia="仿宋_GB2312" w:cs="仿宋_GB2312"/>
          <w:color w:val="000000"/>
          <w:kern w:val="0"/>
          <w:sz w:val="31"/>
          <w:szCs w:val="31"/>
          <w:lang w:val="en-US" w:eastAsia="zh-CN" w:bidi="ar"/>
        </w:rPr>
        <w:t>随机抽查工作，防止单一事项和各自为政的检查，实现部门内部针对相同检查对象的不同检查事项的内部联合抽查全覆盖、常态化。减少对企业（单位）正常生产经营的干扰，震慑违法违规行为。</w:t>
      </w:r>
    </w:p>
    <w:p>
      <w:pPr>
        <w:keepNext w:val="0"/>
        <w:keepLines w:val="0"/>
        <w:widowControl/>
        <w:suppressLineNumbers w:val="0"/>
        <w:ind w:firstLine="620" w:firstLineChars="200"/>
        <w:jc w:val="left"/>
      </w:pPr>
      <w:r>
        <w:rPr>
          <w:rFonts w:hint="eastAsia" w:ascii="仿宋_GB2312" w:hAnsi="仿宋_GB2312" w:eastAsia="仿宋_GB2312" w:cs="仿宋_GB2312"/>
          <w:color w:val="000000"/>
          <w:kern w:val="0"/>
          <w:sz w:val="31"/>
          <w:szCs w:val="31"/>
          <w:lang w:val="en-US" w:eastAsia="zh-CN" w:bidi="ar"/>
        </w:rPr>
        <w:t>（三）</w:t>
      </w:r>
      <w:r>
        <w:rPr>
          <w:rFonts w:ascii="仿宋_GB2312" w:hAnsi="仿宋_GB2312" w:eastAsia="仿宋_GB2312" w:cs="仿宋_GB2312"/>
          <w:color w:val="000000"/>
          <w:kern w:val="0"/>
          <w:sz w:val="31"/>
          <w:szCs w:val="31"/>
          <w:lang w:val="en-US" w:eastAsia="zh-CN" w:bidi="ar"/>
        </w:rPr>
        <w:t xml:space="preserve">严格规范随机抽查工作程序。要严格按照年度随机抽查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工作计划组织实施抽查，每次抽查都要制定具体工作方案，并将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抽查工作方案在政府或</w:t>
      </w:r>
      <w:r>
        <w:rPr>
          <w:rFonts w:hint="eastAsia" w:ascii="仿宋_GB2312" w:hAnsi="仿宋_GB2312" w:eastAsia="仿宋_GB2312" w:cs="仿宋_GB2312"/>
          <w:color w:val="000000"/>
          <w:kern w:val="0"/>
          <w:sz w:val="31"/>
          <w:szCs w:val="31"/>
          <w:lang w:val="en-US" w:eastAsia="zh-CN" w:bidi="ar"/>
        </w:rPr>
        <w:t>市</w:t>
      </w:r>
      <w:r>
        <w:rPr>
          <w:rFonts w:ascii="仿宋_GB2312" w:hAnsi="仿宋_GB2312" w:eastAsia="仿宋_GB2312" w:cs="仿宋_GB2312"/>
          <w:color w:val="000000"/>
          <w:kern w:val="0"/>
          <w:sz w:val="31"/>
          <w:szCs w:val="31"/>
          <w:lang w:val="en-US" w:eastAsia="zh-CN" w:bidi="ar"/>
        </w:rPr>
        <w:t>农业农村</w:t>
      </w:r>
      <w:r>
        <w:rPr>
          <w:rFonts w:hint="eastAsia" w:ascii="仿宋_GB2312" w:hAnsi="仿宋_GB2312" w:eastAsia="仿宋_GB2312" w:cs="仿宋_GB2312"/>
          <w:color w:val="000000"/>
          <w:kern w:val="0"/>
          <w:sz w:val="31"/>
          <w:szCs w:val="31"/>
          <w:lang w:val="en-US" w:eastAsia="zh-CN" w:bidi="ar"/>
        </w:rPr>
        <w:t>局</w:t>
      </w:r>
      <w:r>
        <w:rPr>
          <w:rFonts w:ascii="仿宋_GB2312" w:hAnsi="仿宋_GB2312" w:eastAsia="仿宋_GB2312" w:cs="仿宋_GB2312"/>
          <w:color w:val="000000"/>
          <w:kern w:val="0"/>
          <w:sz w:val="31"/>
          <w:szCs w:val="31"/>
          <w:lang w:val="en-US" w:eastAsia="zh-CN" w:bidi="ar"/>
        </w:rPr>
        <w:t xml:space="preserve">网站等载体上进行公开；要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切实通过河北省双随机监管工作平台开展抽查工作，做到“平台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之外无抽查”，抽查检查结果由平台自动归集到市场主体名下并在国家企业信用信息公示系统（河北）向社会公开。</w:t>
      </w:r>
    </w:p>
    <w:p>
      <w:pPr>
        <w:keepNext w:val="0"/>
        <w:keepLines w:val="0"/>
        <w:widowControl/>
        <w:suppressLineNumbers w:val="0"/>
        <w:ind w:firstLine="620" w:firstLineChars="200"/>
        <w:jc w:val="left"/>
      </w:pPr>
      <w:r>
        <w:rPr>
          <w:rFonts w:hint="eastAsia" w:ascii="仿宋_GB2312" w:hAnsi="仿宋_GB2312" w:eastAsia="仿宋_GB2312" w:cs="仿宋_GB2312"/>
          <w:color w:val="000000"/>
          <w:kern w:val="0"/>
          <w:sz w:val="31"/>
          <w:szCs w:val="31"/>
          <w:lang w:val="en-US" w:eastAsia="zh-CN" w:bidi="ar"/>
        </w:rPr>
        <w:t>（四）</w:t>
      </w:r>
      <w:r>
        <w:rPr>
          <w:rFonts w:ascii="仿宋_GB2312" w:hAnsi="仿宋_GB2312" w:eastAsia="仿宋_GB2312" w:cs="仿宋_GB2312"/>
          <w:color w:val="000000"/>
          <w:kern w:val="0"/>
          <w:sz w:val="31"/>
          <w:szCs w:val="31"/>
          <w:lang w:val="en-US" w:eastAsia="zh-CN" w:bidi="ar"/>
        </w:rPr>
        <w:t xml:space="preserve">健全随机抽查后续处置机制。要切实加强随机抽查与行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政处罚的有机衔接，实现“后续处置无例外”。对在随机抽查工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作中发现的违法违规行为，要规范问题线索的转办、移送工作，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明确移交情形、程序、材料组成等，涉嫌犯罪的及时移送司法机关；执法机构要将执行行政处罚和行政强制的相对责任主体情况向行业监管机构进行通报，实现“后续处置无例外”和监管闭环管理。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w:t>
      </w:r>
      <w:r>
        <w:rPr>
          <w:rFonts w:hint="eastAsia" w:ascii="楷体_GB2312" w:hAnsi="楷体_GB2312" w:eastAsia="楷体_GB2312" w:cs="楷体_GB2312"/>
          <w:color w:val="000000"/>
          <w:kern w:val="0"/>
          <w:sz w:val="31"/>
          <w:szCs w:val="31"/>
          <w:lang w:val="en-US" w:eastAsia="zh-CN" w:bidi="ar"/>
        </w:rPr>
        <w:t>五</w:t>
      </w:r>
      <w:r>
        <w:rPr>
          <w:rFonts w:ascii="楷体_GB2312" w:hAnsi="楷体_GB2312" w:eastAsia="楷体_GB2312" w:cs="楷体_GB2312"/>
          <w:color w:val="000000"/>
          <w:kern w:val="0"/>
          <w:sz w:val="31"/>
          <w:szCs w:val="31"/>
          <w:lang w:val="en-US" w:eastAsia="zh-CN" w:bidi="ar"/>
        </w:rPr>
        <w:t>）不断提升随机抽查工作效能。</w:t>
      </w:r>
      <w:r>
        <w:rPr>
          <w:rFonts w:hint="eastAsia" w:ascii="楷体_GB2312" w:hAnsi="楷体_GB2312" w:eastAsia="楷体_GB2312" w:cs="楷体_GB2312"/>
          <w:color w:val="000000"/>
          <w:kern w:val="0"/>
          <w:sz w:val="31"/>
          <w:szCs w:val="31"/>
          <w:lang w:val="en-US" w:eastAsia="zh-CN" w:bidi="ar"/>
        </w:rPr>
        <w:t>要</w:t>
      </w:r>
      <w:r>
        <w:rPr>
          <w:rFonts w:ascii="仿宋_GB2312" w:hAnsi="仿宋_GB2312" w:eastAsia="仿宋_GB2312" w:cs="仿宋_GB2312"/>
          <w:color w:val="000000"/>
          <w:kern w:val="0"/>
          <w:sz w:val="31"/>
          <w:szCs w:val="31"/>
          <w:lang w:val="en-US" w:eastAsia="zh-CN" w:bidi="ar"/>
        </w:rPr>
        <w:t>组织学习宣传《随机抽查工作规范-河北省地方标准》。增强社会对双随机抽查监管方式的认知度，不断提升农业农村领域“双随机、一公开”监管整体水平。是强化教育培训。既要加强对执法人员的业务培训和管理人员的系统使用培训，又要重点强化对随机抽查工作规范-河北省地方标准的培训，不断提高基层工作人员能力素质</w:t>
      </w:r>
      <w:r>
        <w:rPr>
          <w:rFonts w:hint="eastAsia" w:ascii="仿宋_GB2312" w:hAnsi="仿宋_GB2312" w:eastAsia="仿宋_GB2312" w:cs="仿宋_GB2312"/>
          <w:color w:val="000000"/>
          <w:kern w:val="0"/>
          <w:sz w:val="31"/>
          <w:szCs w:val="31"/>
          <w:lang w:val="en-US" w:eastAsia="zh-CN" w:bidi="ar"/>
        </w:rPr>
        <w:t>。要</w:t>
      </w:r>
      <w:r>
        <w:rPr>
          <w:rFonts w:ascii="仿宋_GB2312" w:hAnsi="仿宋_GB2312" w:eastAsia="仿宋_GB2312" w:cs="仿宋_GB2312"/>
          <w:color w:val="000000"/>
          <w:kern w:val="0"/>
          <w:sz w:val="31"/>
          <w:szCs w:val="31"/>
          <w:lang w:val="en-US" w:eastAsia="zh-CN" w:bidi="ar"/>
        </w:rPr>
        <w:t>实施联合惩戒。要加大对抽查发现的违法失信行为的信用惩戒力度，着力推进“双随机、一公开”监管与信用监管的有效衔接，将其纳入主体的信用记录，实施联合惩戒，强化信用监管的基础性地位和市场主体诚信守法经营自律意识，提升随机抽查效能和震慑力。要加大对抽查检查结果的统计分析，运用基于信用风险指数变化的预警功能，提升对农业农村领域内倾向性、普遍性问题的发现能力，有针对性实施定向抽查，消除风险隐患。</w:t>
      </w:r>
    </w:p>
    <w:p>
      <w:pPr>
        <w:keepNext w:val="0"/>
        <w:keepLines w:val="0"/>
        <w:widowControl/>
        <w:suppressLineNumbers w:val="0"/>
        <w:ind w:firstLine="620" w:firstLineChars="200"/>
        <w:jc w:val="left"/>
      </w:pPr>
      <w:r>
        <w:rPr>
          <w:rFonts w:ascii="黑体" w:hAnsi="宋体" w:eastAsia="黑体" w:cs="黑体"/>
          <w:color w:val="000000"/>
          <w:kern w:val="0"/>
          <w:sz w:val="31"/>
          <w:szCs w:val="31"/>
          <w:lang w:val="en-US" w:eastAsia="zh-CN" w:bidi="ar"/>
        </w:rPr>
        <w:t xml:space="preserve">三、工作要求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（一）提高政治站位。</w:t>
      </w:r>
      <w:r>
        <w:rPr>
          <w:rFonts w:ascii="仿宋_GB2312" w:hAnsi="仿宋_GB2312" w:eastAsia="仿宋_GB2312" w:cs="仿宋_GB2312"/>
          <w:color w:val="000000"/>
          <w:kern w:val="0"/>
          <w:sz w:val="31"/>
          <w:szCs w:val="31"/>
          <w:lang w:val="en-US" w:eastAsia="zh-CN" w:bidi="ar"/>
        </w:rPr>
        <w:t xml:space="preserve">党中央、国务院和省委、省政府高度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重视“双随机、一公开”监管工作,国务院、省政府每年都将这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项工作列入《政府工作报告》予以安排部署，并开展专项督查问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效。各级农业农村部门要站在经济社会发展全局的高度，深刻认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识做好这项工作的重要性和紧迫性，进一步加强组织领导和统筹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协调，完善工作制度和运行机制，细化工作目标和推进举措，为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深化“放管服”改革、优化营商环境做出积极贡献。 </w:t>
      </w:r>
    </w:p>
    <w:p>
      <w:pPr>
        <w:keepNext w:val="0"/>
        <w:keepLines w:val="0"/>
        <w:widowControl/>
        <w:suppressLineNumbers w:val="0"/>
        <w:ind w:firstLine="310" w:firstLineChars="100"/>
        <w:jc w:val="left"/>
      </w:pPr>
      <w:r>
        <w:rPr>
          <w:rFonts w:ascii="楷体_GB2312" w:hAnsi="楷体_GB2312" w:eastAsia="楷体_GB2312" w:cs="楷体_GB2312"/>
          <w:color w:val="000000"/>
          <w:kern w:val="0"/>
          <w:sz w:val="31"/>
          <w:szCs w:val="31"/>
          <w:lang w:val="en-US" w:eastAsia="zh-CN" w:bidi="ar"/>
        </w:rPr>
        <w:t>（二）认真履行职责。</w:t>
      </w:r>
      <w:r>
        <w:rPr>
          <w:rFonts w:hint="eastAsia" w:ascii="楷体_GB2312" w:hAnsi="楷体_GB2312" w:eastAsia="楷体_GB2312" w:cs="楷体_GB2312"/>
          <w:color w:val="000000"/>
          <w:kern w:val="0"/>
          <w:sz w:val="31"/>
          <w:szCs w:val="31"/>
          <w:lang w:val="en-US" w:eastAsia="zh-CN" w:bidi="ar"/>
        </w:rPr>
        <w:t>各</w:t>
      </w:r>
      <w:r>
        <w:rPr>
          <w:rFonts w:ascii="仿宋_GB2312" w:hAnsi="仿宋_GB2312" w:eastAsia="仿宋_GB2312" w:cs="仿宋_GB2312"/>
          <w:color w:val="000000"/>
          <w:kern w:val="0"/>
          <w:sz w:val="31"/>
          <w:szCs w:val="31"/>
          <w:lang w:val="en-US" w:eastAsia="zh-CN" w:bidi="ar"/>
        </w:rPr>
        <w:t xml:space="preserve">单位要切实履行监管工作主体责任，持续完善“一单两库”，科学制定抽查工作计划，严密组织随机抽查工作；市、县农业农村部门要加强随机抽查监管工作的统筹协调，建立健全相应工作机制，积极开展工作，要主动与相关部门加强沟通，密切配合，团结协作，形成监管工作合力，切实把“双随机”监管落到实处、取得实效。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（三）加大督导力度。</w:t>
      </w:r>
      <w:r>
        <w:rPr>
          <w:rFonts w:ascii="仿宋_GB2312" w:hAnsi="仿宋_GB2312" w:eastAsia="仿宋_GB2312" w:cs="仿宋_GB2312"/>
          <w:color w:val="000000"/>
          <w:kern w:val="0"/>
          <w:sz w:val="31"/>
          <w:szCs w:val="31"/>
          <w:lang w:val="en-US" w:eastAsia="zh-CN" w:bidi="ar"/>
        </w:rPr>
        <w:t xml:space="preserve">要全面推行“事前懒政提醒、事中怠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政督办、事后失职问责”的三单工作机制，采取适当方式，加强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对“双随机、一公开”的督导检查，以查促发现问题、以查促整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改落实。重点强化抽查计划的制定与落实、按时限完成结果录入、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发现问题的后续处理等环节的督查，坚决克服检查走过场、纸上 </w:t>
      </w:r>
    </w:p>
    <w:p>
      <w:pPr>
        <w:keepNext w:val="0"/>
        <w:keepLines w:val="0"/>
        <w:widowControl/>
        <w:suppressLineNumbers w:val="0"/>
        <w:jc w:val="left"/>
        <w:rPr>
          <w:rFonts w:ascii="仿宋_GB2312"/>
          <w:szCs w:val="32"/>
        </w:rPr>
      </w:pPr>
      <w:r>
        <w:rPr>
          <w:rFonts w:ascii="仿宋_GB2312" w:hAnsi="仿宋_GB2312" w:eastAsia="仿宋_GB2312" w:cs="仿宋_GB2312"/>
          <w:color w:val="000000"/>
          <w:kern w:val="0"/>
          <w:sz w:val="31"/>
          <w:szCs w:val="31"/>
          <w:lang w:val="en-US" w:eastAsia="zh-CN" w:bidi="ar"/>
        </w:rPr>
        <w:t>填报、结果录入错误等不认真履行检查职责的现象。</w:t>
      </w:r>
    </w:p>
    <w:p>
      <w:pPr>
        <w:spacing w:line="560" w:lineRule="exact"/>
        <w:ind w:firstLine="640" w:firstLineChars="200"/>
        <w:rPr>
          <w:rFonts w:hint="eastAsia" w:ascii="仿宋_GB2312"/>
          <w:szCs w:val="32"/>
          <w:lang w:val="en-US" w:eastAsia="zh-CN"/>
        </w:rPr>
      </w:pPr>
      <w:r>
        <w:rPr>
          <w:rFonts w:hint="eastAsia" w:ascii="仿宋_GB2312"/>
          <w:szCs w:val="32"/>
        </w:rPr>
        <w:t>联 系 人：</w:t>
      </w:r>
      <w:r>
        <w:rPr>
          <w:rFonts w:hint="eastAsia" w:ascii="仿宋_GB2312"/>
          <w:szCs w:val="32"/>
          <w:lang w:eastAsia="zh-CN"/>
        </w:rPr>
        <w:t>邓军</w:t>
      </w:r>
      <w:r>
        <w:rPr>
          <w:rFonts w:hint="eastAsia" w:ascii="仿宋_GB2312"/>
          <w:szCs w:val="32"/>
        </w:rPr>
        <w:t xml:space="preserve">  电话：</w:t>
      </w:r>
      <w:r>
        <w:rPr>
          <w:rFonts w:hint="eastAsia" w:ascii="仿宋_GB2312"/>
          <w:szCs w:val="32"/>
          <w:lang w:val="en-US" w:eastAsia="zh-CN"/>
        </w:rPr>
        <w:t>8017515</w:t>
      </w:r>
      <w:r>
        <w:rPr>
          <w:rFonts w:hint="eastAsia" w:ascii="仿宋_GB2312"/>
          <w:szCs w:val="32"/>
        </w:rPr>
        <w:t xml:space="preserve">(兼传真)  </w:t>
      </w:r>
      <w:r>
        <w:rPr>
          <w:rFonts w:hint="eastAsia" w:ascii="仿宋_GB2312"/>
          <w:szCs w:val="32"/>
          <w:lang w:val="en-US" w:eastAsia="zh-CN"/>
        </w:rPr>
        <w:t>13833566082</w:t>
      </w:r>
    </w:p>
    <w:p>
      <w:pPr>
        <w:spacing w:line="560" w:lineRule="exact"/>
        <w:ind w:firstLine="640" w:firstLineChars="200"/>
        <w:rPr>
          <w:rFonts w:ascii="仿宋_GB2312"/>
          <w:szCs w:val="32"/>
        </w:rPr>
      </w:pPr>
      <w:r>
        <w:rPr>
          <w:rFonts w:hint="eastAsia" w:ascii="仿宋_GB2312"/>
          <w:szCs w:val="32"/>
        </w:rPr>
        <w:t>电子邮箱：</w:t>
      </w:r>
      <w:r>
        <w:rPr>
          <w:rFonts w:hint="eastAsia" w:ascii="仿宋_GB2312"/>
          <w:szCs w:val="32"/>
          <w:lang w:val="en-US" w:eastAsia="zh-CN"/>
        </w:rPr>
        <w:t>nyjfgk2010</w:t>
      </w:r>
      <w:r>
        <w:rPr>
          <w:rFonts w:hint="eastAsia" w:ascii="仿宋_GB2312"/>
          <w:szCs w:val="32"/>
        </w:rPr>
        <w:t>@163.com</w:t>
      </w:r>
    </w:p>
    <w:p>
      <w:pPr>
        <w:spacing w:line="560" w:lineRule="exact"/>
        <w:ind w:firstLine="640" w:firstLineChars="200"/>
        <w:rPr>
          <w:rFonts w:ascii="仿宋_GB2312" w:hAnsi="仿宋_GB2312" w:cs="仿宋_GB2312"/>
          <w:color w:val="000000"/>
          <w:kern w:val="60"/>
          <w:szCs w:val="32"/>
        </w:rPr>
      </w:pPr>
    </w:p>
    <w:p>
      <w:pPr>
        <w:spacing w:line="560" w:lineRule="exact"/>
        <w:rPr>
          <w:rFonts w:hint="eastAsia" w:ascii="仿宋_GB2312"/>
          <w:szCs w:val="32"/>
        </w:rPr>
      </w:pPr>
    </w:p>
    <w:p>
      <w:pPr>
        <w:spacing w:line="560" w:lineRule="exact"/>
        <w:rPr>
          <w:rFonts w:hint="eastAsia" w:ascii="仿宋_GB2312"/>
          <w:szCs w:val="32"/>
        </w:rPr>
      </w:pPr>
      <w:r>
        <w:rPr>
          <w:rFonts w:hint="eastAsia" w:ascii="仿宋_GB2312"/>
          <w:szCs w:val="32"/>
        </w:rPr>
        <w:t>附件：</w:t>
      </w:r>
    </w:p>
    <w:p>
      <w:pPr>
        <w:spacing w:line="560" w:lineRule="exact"/>
        <w:jc w:val="center"/>
        <w:rPr>
          <w:rFonts w:hint="eastAsia" w:ascii="仿宋_GB2312"/>
          <w:szCs w:val="32"/>
          <w:lang w:val="en-US" w:eastAsia="zh-CN"/>
        </w:rPr>
      </w:pPr>
      <w:r>
        <w:rPr>
          <w:rFonts w:hint="eastAsia" w:ascii="仿宋_GB2312"/>
          <w:szCs w:val="32"/>
          <w:lang w:val="en-US" w:eastAsia="zh-CN"/>
        </w:rPr>
        <w:t>2022年市农业农村局“双随机 一公开”监管事项抽查计划</w:t>
      </w:r>
    </w:p>
    <w:p>
      <w:pPr>
        <w:spacing w:line="560" w:lineRule="exact"/>
        <w:jc w:val="center"/>
        <w:rPr>
          <w:rFonts w:hint="eastAsia" w:ascii="仿宋_GB2312"/>
          <w:szCs w:val="32"/>
          <w:lang w:val="en-US" w:eastAsia="zh-CN"/>
        </w:rPr>
      </w:pPr>
    </w:p>
    <w:tbl>
      <w:tblPr>
        <w:tblStyle w:val="4"/>
        <w:tblW w:w="91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795"/>
        <w:gridCol w:w="807"/>
        <w:gridCol w:w="921"/>
        <w:gridCol w:w="818"/>
        <w:gridCol w:w="704"/>
        <w:gridCol w:w="728"/>
        <w:gridCol w:w="1238"/>
        <w:gridCol w:w="818"/>
        <w:gridCol w:w="921"/>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抽查计划编号</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抽查计划名称</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抽查任务编号</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抽查任务名称</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抽查类型</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抽查比例</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抽查事项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抽查对象范围</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联合科室</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抽查时间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市农业农村局</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2022001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2022年秦皇岛市市农业农村局内部联合随机抽查001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2022年秦皇岛市农业农村局内部联合随机抽查</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定向抽查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农资、农机、农经、定点屠宰、生鲜乳、转基因生物</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生产企业、销售门店、农资市场</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行政科室、秦皇岛市种子站、执法支队</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3-12月</w:t>
            </w:r>
          </w:p>
        </w:tc>
      </w:tr>
    </w:tbl>
    <w:p>
      <w:pPr>
        <w:spacing w:line="560" w:lineRule="exact"/>
        <w:ind w:firstLine="640" w:firstLineChars="200"/>
        <w:rPr>
          <w:rFonts w:hint="eastAsia" w:ascii="仿宋_GB2312"/>
          <w:szCs w:val="32"/>
          <w:lang w:val="en-US" w:eastAsia="zh-CN"/>
        </w:rPr>
      </w:pPr>
    </w:p>
    <w:p>
      <w:pPr>
        <w:spacing w:line="560" w:lineRule="exact"/>
        <w:rPr>
          <w:rFonts w:ascii="仿宋_GB2312"/>
          <w:szCs w:val="32"/>
        </w:rPr>
      </w:pPr>
    </w:p>
    <w:p>
      <w:pPr>
        <w:spacing w:line="560" w:lineRule="exact"/>
        <w:rPr>
          <w:rFonts w:ascii="仿宋_GB2312"/>
          <w:szCs w:val="32"/>
        </w:rPr>
      </w:pPr>
    </w:p>
    <w:sectPr>
      <w:footerReference r:id="rId5" w:type="first"/>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eastAsia="zh-CN"/>
      </w:rPr>
      <w:t>7</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eastAsia="zh-CN"/>
      </w:rPr>
      <w:t>-</w:t>
    </w:r>
    <w:r>
      <w:rPr>
        <w:rFonts w:ascii="宋体" w:hAnsi="宋体" w:eastAsia="宋体"/>
        <w:sz w:val="28"/>
        <w:szCs w:val="28"/>
        <w:lang w:val="en-US" w:eastAsia="zh-CN"/>
      </w:rPr>
      <w:t xml:space="preserve"> 10 -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eastAsia="zh-CN"/>
      </w:rPr>
      <w:t>-</w:t>
    </w:r>
    <w:r>
      <w:rPr>
        <w:rFonts w:ascii="宋体" w:hAnsi="宋体" w:eastAsia="宋体"/>
        <w:sz w:val="28"/>
        <w:szCs w:val="28"/>
        <w:lang w:val="en-US" w:eastAsia="zh-CN"/>
      </w:rPr>
      <w:t xml:space="preserve"> 1 -</w:t>
    </w:r>
    <w:r>
      <w:rPr>
        <w:rFonts w:ascii="宋体" w:hAnsi="宋体" w:eastAsia="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D49B0A"/>
    <w:multiLevelType w:val="singleLevel"/>
    <w:tmpl w:val="1AD49B0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15010"/>
    <w:rsid w:val="00000B82"/>
    <w:rsid w:val="00001165"/>
    <w:rsid w:val="000049DD"/>
    <w:rsid w:val="000115D3"/>
    <w:rsid w:val="000130CC"/>
    <w:rsid w:val="0001466B"/>
    <w:rsid w:val="000146BC"/>
    <w:rsid w:val="00015010"/>
    <w:rsid w:val="00022EB9"/>
    <w:rsid w:val="00024181"/>
    <w:rsid w:val="000277B1"/>
    <w:rsid w:val="00031C81"/>
    <w:rsid w:val="000332D4"/>
    <w:rsid w:val="000363C3"/>
    <w:rsid w:val="00037B46"/>
    <w:rsid w:val="000547EE"/>
    <w:rsid w:val="00054F7A"/>
    <w:rsid w:val="000617D8"/>
    <w:rsid w:val="00063837"/>
    <w:rsid w:val="0007160C"/>
    <w:rsid w:val="0008014A"/>
    <w:rsid w:val="0008143F"/>
    <w:rsid w:val="000825DA"/>
    <w:rsid w:val="000844DD"/>
    <w:rsid w:val="00085607"/>
    <w:rsid w:val="00095160"/>
    <w:rsid w:val="000964FB"/>
    <w:rsid w:val="00096D5B"/>
    <w:rsid w:val="000A0A3C"/>
    <w:rsid w:val="000A5986"/>
    <w:rsid w:val="000A77C3"/>
    <w:rsid w:val="000B3BE2"/>
    <w:rsid w:val="000C146B"/>
    <w:rsid w:val="000C2A31"/>
    <w:rsid w:val="000C5B76"/>
    <w:rsid w:val="000C74D8"/>
    <w:rsid w:val="000D696F"/>
    <w:rsid w:val="000E0519"/>
    <w:rsid w:val="000E14C1"/>
    <w:rsid w:val="000F48EA"/>
    <w:rsid w:val="001031CB"/>
    <w:rsid w:val="00115C4B"/>
    <w:rsid w:val="0012176F"/>
    <w:rsid w:val="00130674"/>
    <w:rsid w:val="001366D9"/>
    <w:rsid w:val="0015008E"/>
    <w:rsid w:val="00151583"/>
    <w:rsid w:val="00154FB1"/>
    <w:rsid w:val="001566C9"/>
    <w:rsid w:val="00160E59"/>
    <w:rsid w:val="00162DF9"/>
    <w:rsid w:val="0016751A"/>
    <w:rsid w:val="001857A9"/>
    <w:rsid w:val="001915A8"/>
    <w:rsid w:val="00191700"/>
    <w:rsid w:val="001933FE"/>
    <w:rsid w:val="00193CEC"/>
    <w:rsid w:val="00193D03"/>
    <w:rsid w:val="001946F3"/>
    <w:rsid w:val="001A429C"/>
    <w:rsid w:val="001A663C"/>
    <w:rsid w:val="001B471E"/>
    <w:rsid w:val="001B7679"/>
    <w:rsid w:val="001C0910"/>
    <w:rsid w:val="001C1D5B"/>
    <w:rsid w:val="001C2B20"/>
    <w:rsid w:val="001C3E7D"/>
    <w:rsid w:val="001E15CB"/>
    <w:rsid w:val="001F0034"/>
    <w:rsid w:val="001F4611"/>
    <w:rsid w:val="00212992"/>
    <w:rsid w:val="00212FC7"/>
    <w:rsid w:val="002147CA"/>
    <w:rsid w:val="0021611A"/>
    <w:rsid w:val="002230F7"/>
    <w:rsid w:val="00224BF5"/>
    <w:rsid w:val="00227E7D"/>
    <w:rsid w:val="00235237"/>
    <w:rsid w:val="00253205"/>
    <w:rsid w:val="00254E0D"/>
    <w:rsid w:val="002600DC"/>
    <w:rsid w:val="002602AD"/>
    <w:rsid w:val="00267F0E"/>
    <w:rsid w:val="002704DF"/>
    <w:rsid w:val="00273D75"/>
    <w:rsid w:val="002913E2"/>
    <w:rsid w:val="0029186E"/>
    <w:rsid w:val="00294012"/>
    <w:rsid w:val="0029668B"/>
    <w:rsid w:val="00296EA0"/>
    <w:rsid w:val="002A0D54"/>
    <w:rsid w:val="002B1E84"/>
    <w:rsid w:val="002B3BCB"/>
    <w:rsid w:val="002B58C3"/>
    <w:rsid w:val="002C3ED1"/>
    <w:rsid w:val="002C7850"/>
    <w:rsid w:val="002D10CB"/>
    <w:rsid w:val="002D462A"/>
    <w:rsid w:val="002D6BA8"/>
    <w:rsid w:val="002E105E"/>
    <w:rsid w:val="002E1515"/>
    <w:rsid w:val="002E2AC1"/>
    <w:rsid w:val="002E5E29"/>
    <w:rsid w:val="002F27D7"/>
    <w:rsid w:val="002F7DD6"/>
    <w:rsid w:val="00301F0D"/>
    <w:rsid w:val="0030223F"/>
    <w:rsid w:val="00305BD8"/>
    <w:rsid w:val="00305C69"/>
    <w:rsid w:val="00320106"/>
    <w:rsid w:val="00326035"/>
    <w:rsid w:val="003301CD"/>
    <w:rsid w:val="0034060D"/>
    <w:rsid w:val="00342C05"/>
    <w:rsid w:val="00343FED"/>
    <w:rsid w:val="00345110"/>
    <w:rsid w:val="00350315"/>
    <w:rsid w:val="0035385C"/>
    <w:rsid w:val="0035747A"/>
    <w:rsid w:val="0036104B"/>
    <w:rsid w:val="00364779"/>
    <w:rsid w:val="0037062A"/>
    <w:rsid w:val="0037099C"/>
    <w:rsid w:val="003725E8"/>
    <w:rsid w:val="00372DB9"/>
    <w:rsid w:val="00373E4A"/>
    <w:rsid w:val="00380E65"/>
    <w:rsid w:val="0038588E"/>
    <w:rsid w:val="00385E18"/>
    <w:rsid w:val="00387188"/>
    <w:rsid w:val="00391382"/>
    <w:rsid w:val="00393CAC"/>
    <w:rsid w:val="00394D0E"/>
    <w:rsid w:val="003A08F4"/>
    <w:rsid w:val="003A49FC"/>
    <w:rsid w:val="003B2230"/>
    <w:rsid w:val="003B57A6"/>
    <w:rsid w:val="003B74CB"/>
    <w:rsid w:val="003C4350"/>
    <w:rsid w:val="003C436F"/>
    <w:rsid w:val="003D1BDE"/>
    <w:rsid w:val="003E4FEC"/>
    <w:rsid w:val="003F5FC2"/>
    <w:rsid w:val="004036B5"/>
    <w:rsid w:val="004064FB"/>
    <w:rsid w:val="004239C5"/>
    <w:rsid w:val="004279E5"/>
    <w:rsid w:val="00427F38"/>
    <w:rsid w:val="0043086E"/>
    <w:rsid w:val="004316E8"/>
    <w:rsid w:val="004337F2"/>
    <w:rsid w:val="00436EA6"/>
    <w:rsid w:val="00441C41"/>
    <w:rsid w:val="00462010"/>
    <w:rsid w:val="0046417D"/>
    <w:rsid w:val="00465D5A"/>
    <w:rsid w:val="00480AED"/>
    <w:rsid w:val="0048243C"/>
    <w:rsid w:val="00485D4A"/>
    <w:rsid w:val="0049091C"/>
    <w:rsid w:val="00492530"/>
    <w:rsid w:val="00492C6A"/>
    <w:rsid w:val="0049692C"/>
    <w:rsid w:val="004A47DC"/>
    <w:rsid w:val="004A7D3D"/>
    <w:rsid w:val="004D3636"/>
    <w:rsid w:val="004E0A49"/>
    <w:rsid w:val="004E2407"/>
    <w:rsid w:val="004F0D3A"/>
    <w:rsid w:val="00514C6A"/>
    <w:rsid w:val="00515AD4"/>
    <w:rsid w:val="00522323"/>
    <w:rsid w:val="005316F1"/>
    <w:rsid w:val="00545934"/>
    <w:rsid w:val="0054731B"/>
    <w:rsid w:val="00560EE6"/>
    <w:rsid w:val="005675E3"/>
    <w:rsid w:val="00572197"/>
    <w:rsid w:val="005733DE"/>
    <w:rsid w:val="00573AEF"/>
    <w:rsid w:val="00574425"/>
    <w:rsid w:val="005755CC"/>
    <w:rsid w:val="00577615"/>
    <w:rsid w:val="00583D4F"/>
    <w:rsid w:val="00584656"/>
    <w:rsid w:val="005859EA"/>
    <w:rsid w:val="00587A49"/>
    <w:rsid w:val="00591066"/>
    <w:rsid w:val="00593C1D"/>
    <w:rsid w:val="005964A0"/>
    <w:rsid w:val="005A3FAB"/>
    <w:rsid w:val="005B079E"/>
    <w:rsid w:val="005C010D"/>
    <w:rsid w:val="005C1AC2"/>
    <w:rsid w:val="005C5FB9"/>
    <w:rsid w:val="005C7273"/>
    <w:rsid w:val="005D0838"/>
    <w:rsid w:val="005D5733"/>
    <w:rsid w:val="005E1594"/>
    <w:rsid w:val="005F669C"/>
    <w:rsid w:val="006010A5"/>
    <w:rsid w:val="00603EA4"/>
    <w:rsid w:val="0061534E"/>
    <w:rsid w:val="006166AE"/>
    <w:rsid w:val="00630588"/>
    <w:rsid w:val="00660B6D"/>
    <w:rsid w:val="00663778"/>
    <w:rsid w:val="00672C9C"/>
    <w:rsid w:val="00674F4A"/>
    <w:rsid w:val="00677497"/>
    <w:rsid w:val="00677EE1"/>
    <w:rsid w:val="00685226"/>
    <w:rsid w:val="00691306"/>
    <w:rsid w:val="00695323"/>
    <w:rsid w:val="006A0555"/>
    <w:rsid w:val="006A3CB7"/>
    <w:rsid w:val="006B0C20"/>
    <w:rsid w:val="006B11CA"/>
    <w:rsid w:val="006B5D60"/>
    <w:rsid w:val="006D3870"/>
    <w:rsid w:val="006D51F3"/>
    <w:rsid w:val="006F38BC"/>
    <w:rsid w:val="0070497B"/>
    <w:rsid w:val="00704AAA"/>
    <w:rsid w:val="00705FFD"/>
    <w:rsid w:val="00716A79"/>
    <w:rsid w:val="0072167E"/>
    <w:rsid w:val="00726DE5"/>
    <w:rsid w:val="00727C7E"/>
    <w:rsid w:val="00733ADE"/>
    <w:rsid w:val="00736875"/>
    <w:rsid w:val="007403F3"/>
    <w:rsid w:val="00743593"/>
    <w:rsid w:val="00744439"/>
    <w:rsid w:val="0075007C"/>
    <w:rsid w:val="00766570"/>
    <w:rsid w:val="00766A53"/>
    <w:rsid w:val="00766D6C"/>
    <w:rsid w:val="00773DA5"/>
    <w:rsid w:val="00775938"/>
    <w:rsid w:val="00777285"/>
    <w:rsid w:val="0077768B"/>
    <w:rsid w:val="00781CE4"/>
    <w:rsid w:val="00782AD5"/>
    <w:rsid w:val="007842CE"/>
    <w:rsid w:val="00793BE9"/>
    <w:rsid w:val="00797DDF"/>
    <w:rsid w:val="007A00A9"/>
    <w:rsid w:val="007A0D4D"/>
    <w:rsid w:val="007A5F69"/>
    <w:rsid w:val="007B1802"/>
    <w:rsid w:val="007B58E7"/>
    <w:rsid w:val="007B6B55"/>
    <w:rsid w:val="007C00BF"/>
    <w:rsid w:val="007C0C84"/>
    <w:rsid w:val="007C3882"/>
    <w:rsid w:val="007C6793"/>
    <w:rsid w:val="007C7ACD"/>
    <w:rsid w:val="007E06FA"/>
    <w:rsid w:val="007E2D9E"/>
    <w:rsid w:val="007E3228"/>
    <w:rsid w:val="007F30BC"/>
    <w:rsid w:val="00814224"/>
    <w:rsid w:val="00816A86"/>
    <w:rsid w:val="00817F5C"/>
    <w:rsid w:val="00852274"/>
    <w:rsid w:val="00852B62"/>
    <w:rsid w:val="00852C4E"/>
    <w:rsid w:val="0085504A"/>
    <w:rsid w:val="00873243"/>
    <w:rsid w:val="00875E1D"/>
    <w:rsid w:val="00877267"/>
    <w:rsid w:val="00877F0E"/>
    <w:rsid w:val="00881526"/>
    <w:rsid w:val="008858C2"/>
    <w:rsid w:val="00886CFE"/>
    <w:rsid w:val="008950EB"/>
    <w:rsid w:val="008A0C71"/>
    <w:rsid w:val="008A590D"/>
    <w:rsid w:val="008B6E5D"/>
    <w:rsid w:val="008C0C4F"/>
    <w:rsid w:val="008C161A"/>
    <w:rsid w:val="008C6B99"/>
    <w:rsid w:val="008C7784"/>
    <w:rsid w:val="008D094F"/>
    <w:rsid w:val="008D0F0A"/>
    <w:rsid w:val="008D1F4D"/>
    <w:rsid w:val="008D7582"/>
    <w:rsid w:val="008E596C"/>
    <w:rsid w:val="008F558D"/>
    <w:rsid w:val="009105E6"/>
    <w:rsid w:val="0093086D"/>
    <w:rsid w:val="009464D9"/>
    <w:rsid w:val="009604AD"/>
    <w:rsid w:val="0096461A"/>
    <w:rsid w:val="00967144"/>
    <w:rsid w:val="009770DF"/>
    <w:rsid w:val="00982599"/>
    <w:rsid w:val="00984B33"/>
    <w:rsid w:val="0098683D"/>
    <w:rsid w:val="00997E79"/>
    <w:rsid w:val="009A29A9"/>
    <w:rsid w:val="009A5566"/>
    <w:rsid w:val="009B0E8B"/>
    <w:rsid w:val="009B613B"/>
    <w:rsid w:val="009C0BF3"/>
    <w:rsid w:val="009D1C91"/>
    <w:rsid w:val="009D3407"/>
    <w:rsid w:val="009E1DB9"/>
    <w:rsid w:val="00A07DF2"/>
    <w:rsid w:val="00A10D7D"/>
    <w:rsid w:val="00A11353"/>
    <w:rsid w:val="00A14B39"/>
    <w:rsid w:val="00A171DF"/>
    <w:rsid w:val="00A24EED"/>
    <w:rsid w:val="00A25E6E"/>
    <w:rsid w:val="00A26425"/>
    <w:rsid w:val="00A3028B"/>
    <w:rsid w:val="00A32C11"/>
    <w:rsid w:val="00A34CD6"/>
    <w:rsid w:val="00A40D25"/>
    <w:rsid w:val="00A454E1"/>
    <w:rsid w:val="00A616A5"/>
    <w:rsid w:val="00A62247"/>
    <w:rsid w:val="00A640B7"/>
    <w:rsid w:val="00A649D3"/>
    <w:rsid w:val="00A64ED3"/>
    <w:rsid w:val="00A850C1"/>
    <w:rsid w:val="00A86E26"/>
    <w:rsid w:val="00A87008"/>
    <w:rsid w:val="00A949A2"/>
    <w:rsid w:val="00A96C0F"/>
    <w:rsid w:val="00AA1B37"/>
    <w:rsid w:val="00AA3343"/>
    <w:rsid w:val="00AA3CDE"/>
    <w:rsid w:val="00AA68D9"/>
    <w:rsid w:val="00AB49EC"/>
    <w:rsid w:val="00AC23A6"/>
    <w:rsid w:val="00AD02C8"/>
    <w:rsid w:val="00AD1D2D"/>
    <w:rsid w:val="00AF0B04"/>
    <w:rsid w:val="00AF5663"/>
    <w:rsid w:val="00AF5CAB"/>
    <w:rsid w:val="00B0422B"/>
    <w:rsid w:val="00B1138A"/>
    <w:rsid w:val="00B20D25"/>
    <w:rsid w:val="00B21A73"/>
    <w:rsid w:val="00B3376E"/>
    <w:rsid w:val="00B453AF"/>
    <w:rsid w:val="00B53511"/>
    <w:rsid w:val="00B5635A"/>
    <w:rsid w:val="00B5639C"/>
    <w:rsid w:val="00B57922"/>
    <w:rsid w:val="00B600A5"/>
    <w:rsid w:val="00B610A7"/>
    <w:rsid w:val="00B629C1"/>
    <w:rsid w:val="00B62D2B"/>
    <w:rsid w:val="00B63199"/>
    <w:rsid w:val="00B6346A"/>
    <w:rsid w:val="00B656F1"/>
    <w:rsid w:val="00B65E24"/>
    <w:rsid w:val="00B6721C"/>
    <w:rsid w:val="00B677EF"/>
    <w:rsid w:val="00B6782D"/>
    <w:rsid w:val="00B72D9A"/>
    <w:rsid w:val="00B801BE"/>
    <w:rsid w:val="00B824D7"/>
    <w:rsid w:val="00B83691"/>
    <w:rsid w:val="00B9115B"/>
    <w:rsid w:val="00B9206A"/>
    <w:rsid w:val="00B939C0"/>
    <w:rsid w:val="00B9446A"/>
    <w:rsid w:val="00BA6B06"/>
    <w:rsid w:val="00BA6EA3"/>
    <w:rsid w:val="00BA7B0A"/>
    <w:rsid w:val="00BC2665"/>
    <w:rsid w:val="00BC7901"/>
    <w:rsid w:val="00BD0FE0"/>
    <w:rsid w:val="00BE0935"/>
    <w:rsid w:val="00BE1A1F"/>
    <w:rsid w:val="00BE244C"/>
    <w:rsid w:val="00BE4408"/>
    <w:rsid w:val="00BF019A"/>
    <w:rsid w:val="00BF2CEA"/>
    <w:rsid w:val="00C019C1"/>
    <w:rsid w:val="00C028FA"/>
    <w:rsid w:val="00C10EA8"/>
    <w:rsid w:val="00C121B4"/>
    <w:rsid w:val="00C1431B"/>
    <w:rsid w:val="00C16986"/>
    <w:rsid w:val="00C17753"/>
    <w:rsid w:val="00C207D6"/>
    <w:rsid w:val="00C208EC"/>
    <w:rsid w:val="00C23891"/>
    <w:rsid w:val="00C33833"/>
    <w:rsid w:val="00C34EDD"/>
    <w:rsid w:val="00C4281D"/>
    <w:rsid w:val="00C44233"/>
    <w:rsid w:val="00C50E8A"/>
    <w:rsid w:val="00C524F5"/>
    <w:rsid w:val="00C54F05"/>
    <w:rsid w:val="00C611FB"/>
    <w:rsid w:val="00C6460D"/>
    <w:rsid w:val="00C6642F"/>
    <w:rsid w:val="00C66808"/>
    <w:rsid w:val="00C67759"/>
    <w:rsid w:val="00C81843"/>
    <w:rsid w:val="00C82AB4"/>
    <w:rsid w:val="00C841DE"/>
    <w:rsid w:val="00C92505"/>
    <w:rsid w:val="00CA782E"/>
    <w:rsid w:val="00CB2D08"/>
    <w:rsid w:val="00CB435B"/>
    <w:rsid w:val="00CB6FB0"/>
    <w:rsid w:val="00CC0AB0"/>
    <w:rsid w:val="00CC1045"/>
    <w:rsid w:val="00CD4BA2"/>
    <w:rsid w:val="00CD575A"/>
    <w:rsid w:val="00CE48F8"/>
    <w:rsid w:val="00CE702F"/>
    <w:rsid w:val="00CF35B9"/>
    <w:rsid w:val="00D00548"/>
    <w:rsid w:val="00D07C16"/>
    <w:rsid w:val="00D07E34"/>
    <w:rsid w:val="00D146E2"/>
    <w:rsid w:val="00D20B1B"/>
    <w:rsid w:val="00D22D07"/>
    <w:rsid w:val="00D308E0"/>
    <w:rsid w:val="00D3156C"/>
    <w:rsid w:val="00D32647"/>
    <w:rsid w:val="00D33DA3"/>
    <w:rsid w:val="00D4194E"/>
    <w:rsid w:val="00D4215F"/>
    <w:rsid w:val="00D43E54"/>
    <w:rsid w:val="00D441C6"/>
    <w:rsid w:val="00D5046F"/>
    <w:rsid w:val="00D55E93"/>
    <w:rsid w:val="00D57261"/>
    <w:rsid w:val="00D7173B"/>
    <w:rsid w:val="00D72F94"/>
    <w:rsid w:val="00D81BCA"/>
    <w:rsid w:val="00D86686"/>
    <w:rsid w:val="00D90B1F"/>
    <w:rsid w:val="00DA2A59"/>
    <w:rsid w:val="00DA48E4"/>
    <w:rsid w:val="00DB112B"/>
    <w:rsid w:val="00DB5B67"/>
    <w:rsid w:val="00DC2FA8"/>
    <w:rsid w:val="00DC7D90"/>
    <w:rsid w:val="00DE3B85"/>
    <w:rsid w:val="00DF7AA4"/>
    <w:rsid w:val="00E07C07"/>
    <w:rsid w:val="00E15C2F"/>
    <w:rsid w:val="00E169DF"/>
    <w:rsid w:val="00E17428"/>
    <w:rsid w:val="00E22B87"/>
    <w:rsid w:val="00E25E2E"/>
    <w:rsid w:val="00E30C3E"/>
    <w:rsid w:val="00E436EF"/>
    <w:rsid w:val="00E43E00"/>
    <w:rsid w:val="00E445C6"/>
    <w:rsid w:val="00E44E35"/>
    <w:rsid w:val="00E455BF"/>
    <w:rsid w:val="00E45F41"/>
    <w:rsid w:val="00E51A1D"/>
    <w:rsid w:val="00E5428A"/>
    <w:rsid w:val="00E56331"/>
    <w:rsid w:val="00E6761C"/>
    <w:rsid w:val="00E75054"/>
    <w:rsid w:val="00E83FEE"/>
    <w:rsid w:val="00E932D5"/>
    <w:rsid w:val="00EA01E5"/>
    <w:rsid w:val="00EA3DC7"/>
    <w:rsid w:val="00EA3FD0"/>
    <w:rsid w:val="00EA7B40"/>
    <w:rsid w:val="00EB3DAC"/>
    <w:rsid w:val="00EB4300"/>
    <w:rsid w:val="00EB6F51"/>
    <w:rsid w:val="00EC5539"/>
    <w:rsid w:val="00EC623E"/>
    <w:rsid w:val="00EE6131"/>
    <w:rsid w:val="00EE619C"/>
    <w:rsid w:val="00EE724F"/>
    <w:rsid w:val="00EF15C0"/>
    <w:rsid w:val="00F1510F"/>
    <w:rsid w:val="00F1622C"/>
    <w:rsid w:val="00F27622"/>
    <w:rsid w:val="00F30C25"/>
    <w:rsid w:val="00F35AAF"/>
    <w:rsid w:val="00F419EF"/>
    <w:rsid w:val="00F47B15"/>
    <w:rsid w:val="00F51C0D"/>
    <w:rsid w:val="00F54CDC"/>
    <w:rsid w:val="00F636D0"/>
    <w:rsid w:val="00F70AD2"/>
    <w:rsid w:val="00F73A8B"/>
    <w:rsid w:val="00F73C07"/>
    <w:rsid w:val="00F748C0"/>
    <w:rsid w:val="00F86326"/>
    <w:rsid w:val="00F900B4"/>
    <w:rsid w:val="00F9156C"/>
    <w:rsid w:val="00F95A74"/>
    <w:rsid w:val="00F969D9"/>
    <w:rsid w:val="00FA05F4"/>
    <w:rsid w:val="00FA3CB7"/>
    <w:rsid w:val="00FA6533"/>
    <w:rsid w:val="00FB1BB2"/>
    <w:rsid w:val="00FB4BD4"/>
    <w:rsid w:val="00FB59F6"/>
    <w:rsid w:val="00FC4947"/>
    <w:rsid w:val="00FC555A"/>
    <w:rsid w:val="00FC55AC"/>
    <w:rsid w:val="00FC5B07"/>
    <w:rsid w:val="00FD4452"/>
    <w:rsid w:val="00FD5C66"/>
    <w:rsid w:val="00FD702B"/>
    <w:rsid w:val="00FD757E"/>
    <w:rsid w:val="00FE1531"/>
    <w:rsid w:val="00FF6D77"/>
    <w:rsid w:val="02C75197"/>
    <w:rsid w:val="055B3A73"/>
    <w:rsid w:val="276F57EF"/>
    <w:rsid w:val="29125142"/>
    <w:rsid w:val="29281FE6"/>
    <w:rsid w:val="29532012"/>
    <w:rsid w:val="2ABC2D0B"/>
    <w:rsid w:val="2C71020A"/>
    <w:rsid w:val="30FD5A7E"/>
    <w:rsid w:val="38DB26C4"/>
    <w:rsid w:val="3AFD740F"/>
    <w:rsid w:val="3CA76FEB"/>
    <w:rsid w:val="52481284"/>
    <w:rsid w:val="541F1A61"/>
    <w:rsid w:val="547017A8"/>
    <w:rsid w:val="55B079BE"/>
    <w:rsid w:val="70BF064F"/>
    <w:rsid w:val="74C25382"/>
    <w:rsid w:val="79281E1A"/>
    <w:rsid w:val="7B3D2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rPr>
  </w:style>
  <w:style w:type="character" w:customStyle="1" w:styleId="8">
    <w:name w:val="日期 Char"/>
    <w:basedOn w:val="6"/>
    <w:link w:val="2"/>
    <w:semiHidden/>
    <w:qFormat/>
    <w:uiPriority w:val="99"/>
    <w:rPr>
      <w:rFonts w:ascii="Times New Roman" w:hAnsi="Times New Roman" w:eastAsia="仿宋_GB2312" w:cs="Times New Roman"/>
      <w:sz w:val="32"/>
    </w:rPr>
  </w:style>
  <w:style w:type="character" w:customStyle="1" w:styleId="9">
    <w:name w:val="页脚 Char"/>
    <w:link w:val="3"/>
    <w:qFormat/>
    <w:uiPriority w:val="99"/>
    <w:rPr>
      <w:sz w:val="18"/>
      <w:szCs w:val="18"/>
    </w:rPr>
  </w:style>
  <w:style w:type="character" w:customStyle="1" w:styleId="10">
    <w:name w:val="页脚 Char1"/>
    <w:basedOn w:val="6"/>
    <w:link w:val="3"/>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677</Words>
  <Characters>3865</Characters>
  <Lines>32</Lines>
  <Paragraphs>9</Paragraphs>
  <TotalTime>200</TotalTime>
  <ScaleCrop>false</ScaleCrop>
  <LinksUpToDate>false</LinksUpToDate>
  <CharactersWithSpaces>4533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2020-01-19T06:15:00Z</dcterms:created>
  <dc:creator>肖辉</dc:creator>
  <cp:lastModifiedBy>Administrator</cp:lastModifiedBy>
  <cp:lastPrinted>2020-02-19T01:06:00Z</cp:lastPrinted>
  <dcterms:modified xsi:type="dcterms:W3CDTF">2022-03-01T01:27:28Z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3005C9EC443642E996E680F76CE3CD25</vt:lpwstr>
  </property>
</Properties>
</file>